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eastAsia="华康简魏碑"/>
          <w:b/>
          <w:bCs/>
          <w:spacing w:val="80"/>
          <w:sz w:val="30"/>
        </w:rPr>
      </w:pPr>
    </w:p>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11"/>
        <w:ind w:left="842" w:hanging="422"/>
        <w:rPr>
          <w:rFonts w:ascii="宋体" w:hAnsi="宋体"/>
          <w:b/>
          <w:bCs/>
          <w:sz w:val="21"/>
          <w:szCs w:val="24"/>
        </w:rPr>
      </w:pPr>
      <w:bookmarkStart w:id="2" w:name="_Toc532545043"/>
      <w:r>
        <w:rPr>
          <w:rFonts w:hint="eastAsia" w:ascii="宋体" w:hAnsi="宋体"/>
          <w:b/>
          <w:bCs/>
          <w:sz w:val="21"/>
          <w:szCs w:val="24"/>
        </w:rPr>
        <w:t>说明：</w:t>
      </w:r>
    </w:p>
    <w:p>
      <w:pPr>
        <w:pStyle w:val="11"/>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ind w:firstLine="422" w:firstLineChars="200"/>
        <w:rPr>
          <w:rFonts w:ascii="宋体" w:hAnsi="宋体"/>
          <w:b/>
          <w:bCs/>
        </w:rPr>
      </w:pPr>
      <w:r>
        <w:rPr>
          <w:rFonts w:hint="eastAsia" w:ascii="宋体" w:hAnsi="宋体"/>
          <w:b/>
          <w:bCs/>
        </w:rPr>
        <w:t>2、本次服务采购最高限价为人民币</w:t>
      </w:r>
      <w:r>
        <w:rPr>
          <w:rFonts w:hint="eastAsia" w:ascii="宋体" w:hAnsi="宋体"/>
          <w:b/>
          <w:bCs/>
          <w:lang w:val="en-US" w:eastAsia="zh-CN"/>
        </w:rPr>
        <w:t>壹拾柒万</w:t>
      </w:r>
      <w:r>
        <w:rPr>
          <w:rFonts w:hint="eastAsia" w:ascii="宋体" w:hAnsi="宋体"/>
          <w:b/>
          <w:bCs/>
        </w:rPr>
        <w:t>元整(¥</w:t>
      </w:r>
      <w:r>
        <w:rPr>
          <w:rFonts w:hint="eastAsia" w:ascii="宋体" w:hAnsi="宋体"/>
          <w:b/>
          <w:bCs/>
          <w:lang w:val="en-US" w:eastAsia="zh-CN"/>
        </w:rPr>
        <w:t>170000</w:t>
      </w:r>
      <w:r>
        <w:rPr>
          <w:rFonts w:hint="eastAsia" w:ascii="宋体" w:hAnsi="宋体"/>
          <w:b/>
          <w:bCs/>
        </w:rPr>
        <w:t>.00元)。</w:t>
      </w:r>
    </w:p>
    <w:p>
      <w:pPr>
        <w:pStyle w:val="2"/>
      </w:pPr>
    </w:p>
    <w:p>
      <w:pPr>
        <w:pStyle w:val="2"/>
        <w:ind w:firstLine="843" w:firstLineChars="400"/>
        <w:jc w:val="both"/>
        <w:rPr>
          <w:rFonts w:hint="eastAsia" w:eastAsia="宋体"/>
          <w:b/>
          <w:bCs/>
          <w:lang w:val="en-US" w:eastAsia="zh-CN"/>
        </w:rPr>
      </w:pPr>
      <w:r>
        <w:rPr>
          <w:rFonts w:hint="eastAsia"/>
          <w:b/>
          <w:bCs/>
        </w:rPr>
        <w:t>南宁广播电</w:t>
      </w:r>
      <w:r>
        <w:rPr>
          <w:rFonts w:hint="eastAsia" w:ascii="Times New Roman" w:hAnsi="Times New Roman" w:cs="Times New Roman"/>
          <w:b/>
          <w:bCs/>
        </w:rPr>
        <w:t>视台大明山网站技术运维</w:t>
      </w:r>
      <w:r>
        <w:rPr>
          <w:rFonts w:hint="eastAsia" w:cs="Times New Roman"/>
          <w:b/>
          <w:bCs/>
          <w:lang w:val="en-US" w:eastAsia="zh-CN"/>
        </w:rPr>
        <w:t>服务</w:t>
      </w:r>
    </w:p>
    <w:tbl>
      <w:tblPr>
        <w:tblStyle w:val="16"/>
        <w:tblpPr w:leftFromText="180" w:rightFromText="180" w:vertAnchor="text" w:horzAnchor="page" w:tblpX="1614" w:tblpY="349"/>
        <w:tblOverlap w:val="never"/>
        <w:tblW w:w="88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0"/>
        <w:gridCol w:w="985"/>
        <w:gridCol w:w="585"/>
        <w:gridCol w:w="585"/>
        <w:gridCol w:w="915"/>
        <w:gridCol w:w="1185"/>
        <w:gridCol w:w="41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0" w:type="dxa"/>
            <w:vAlign w:val="center"/>
          </w:tcPr>
          <w:p>
            <w:pPr>
              <w:rPr>
                <w:rFonts w:hint="eastAsia" w:ascii="宋体" w:hAnsi="宋体"/>
              </w:rPr>
            </w:pPr>
            <w:r>
              <w:rPr>
                <w:rFonts w:hint="eastAsia" w:ascii="宋体" w:hAnsi="宋体"/>
              </w:rPr>
              <w:t>序号</w:t>
            </w:r>
          </w:p>
        </w:tc>
        <w:tc>
          <w:tcPr>
            <w:tcW w:w="985" w:type="dxa"/>
            <w:vAlign w:val="center"/>
          </w:tcPr>
          <w:p>
            <w:pPr>
              <w:jc w:val="center"/>
              <w:rPr>
                <w:rFonts w:hint="eastAsia" w:ascii="宋体" w:hAnsi="宋体"/>
              </w:rPr>
            </w:pPr>
            <w:r>
              <w:rPr>
                <w:rFonts w:hint="eastAsia" w:ascii="宋体" w:hAnsi="宋体"/>
              </w:rPr>
              <w:t>名称</w:t>
            </w:r>
          </w:p>
        </w:tc>
        <w:tc>
          <w:tcPr>
            <w:tcW w:w="585" w:type="dxa"/>
            <w:vAlign w:val="center"/>
          </w:tcPr>
          <w:p>
            <w:pPr>
              <w:jc w:val="center"/>
              <w:rPr>
                <w:rFonts w:hint="eastAsia" w:ascii="宋体" w:hAnsi="宋体"/>
              </w:rPr>
            </w:pPr>
            <w:r>
              <w:rPr>
                <w:rFonts w:hint="eastAsia" w:ascii="宋体" w:hAnsi="宋体"/>
              </w:rPr>
              <w:t>数量</w:t>
            </w:r>
          </w:p>
        </w:tc>
        <w:tc>
          <w:tcPr>
            <w:tcW w:w="585" w:type="dxa"/>
            <w:vAlign w:val="center"/>
          </w:tcPr>
          <w:p>
            <w:pPr>
              <w:jc w:val="center"/>
              <w:rPr>
                <w:rFonts w:hint="eastAsia" w:ascii="宋体" w:hAnsi="宋体"/>
              </w:rPr>
            </w:pPr>
            <w:r>
              <w:rPr>
                <w:rFonts w:hint="eastAsia" w:ascii="宋体" w:hAnsi="宋体"/>
              </w:rPr>
              <w:t>单位</w:t>
            </w:r>
          </w:p>
        </w:tc>
        <w:tc>
          <w:tcPr>
            <w:tcW w:w="915" w:type="dxa"/>
            <w:vAlign w:val="center"/>
          </w:tcPr>
          <w:p>
            <w:pPr>
              <w:jc w:val="center"/>
              <w:rPr>
                <w:rFonts w:hint="eastAsia" w:ascii="宋体" w:hAnsi="宋体"/>
              </w:rPr>
            </w:pPr>
            <w:r>
              <w:rPr>
                <w:rFonts w:hint="eastAsia" w:ascii="宋体" w:hAnsi="宋体"/>
              </w:rPr>
              <w:t>单价(元）</w:t>
            </w:r>
          </w:p>
        </w:tc>
        <w:tc>
          <w:tcPr>
            <w:tcW w:w="1185" w:type="dxa"/>
            <w:vAlign w:val="center"/>
          </w:tcPr>
          <w:p>
            <w:pPr>
              <w:jc w:val="center"/>
              <w:rPr>
                <w:rFonts w:hint="eastAsia" w:ascii="宋体" w:hAnsi="宋体"/>
              </w:rPr>
            </w:pPr>
            <w:r>
              <w:rPr>
                <w:rFonts w:hint="eastAsia" w:ascii="宋体" w:hAnsi="宋体"/>
              </w:rPr>
              <w:t>单项合价（元）</w:t>
            </w:r>
          </w:p>
        </w:tc>
        <w:tc>
          <w:tcPr>
            <w:tcW w:w="4114" w:type="dxa"/>
            <w:vAlign w:val="center"/>
          </w:tcPr>
          <w:p>
            <w:pPr>
              <w:ind w:firstLine="1260" w:firstLineChars="600"/>
              <w:rPr>
                <w:rFonts w:hint="eastAsia" w:ascii="宋体" w:hAnsi="宋体"/>
              </w:rPr>
            </w:pPr>
            <w:r>
              <w:rPr>
                <w:rFonts w:hint="eastAsia" w:ascii="宋体" w:hAnsi="宋体"/>
              </w:rPr>
              <w:t>服务内容及要求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0" w:hRule="atLeast"/>
        </w:trPr>
        <w:tc>
          <w:tcPr>
            <w:tcW w:w="490" w:type="dxa"/>
            <w:vAlign w:val="center"/>
          </w:tcPr>
          <w:p>
            <w:pPr>
              <w:snapToGrid w:val="0"/>
              <w:jc w:val="left"/>
              <w:rPr>
                <w:rFonts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1</w:t>
            </w:r>
          </w:p>
        </w:tc>
        <w:tc>
          <w:tcPr>
            <w:tcW w:w="985" w:type="dxa"/>
            <w:vAlign w:val="center"/>
          </w:tcPr>
          <w:p>
            <w:pPr>
              <w:snapToGrid w:val="0"/>
              <w:jc w:val="left"/>
              <w:rPr>
                <w:rFonts w:ascii="微软雅黑" w:hAnsi="微软雅黑" w:eastAsia="微软雅黑" w:cs="微软雅黑"/>
                <w:i w:val="0"/>
                <w:iCs w:val="0"/>
                <w:caps w:val="0"/>
                <w:color w:val="000000"/>
                <w:spacing w:val="0"/>
                <w:sz w:val="24"/>
                <w:szCs w:val="24"/>
                <w:shd w:val="clear" w:fill="FFFFFF"/>
              </w:rPr>
            </w:pPr>
            <w:r>
              <w:rPr>
                <w:rFonts w:hint="eastAsia" w:ascii="宋体" w:hAnsi="宋体"/>
              </w:rPr>
              <w:t>大明山网站技术运维</w:t>
            </w:r>
            <w:r>
              <w:rPr>
                <w:rFonts w:hint="eastAsia" w:ascii="宋体" w:hAnsi="宋体"/>
                <w:lang w:val="en-US" w:eastAsia="zh-CN"/>
              </w:rPr>
              <w:t>服务</w:t>
            </w:r>
            <w:bookmarkStart w:id="7" w:name="_GoBack"/>
            <w:bookmarkEnd w:id="7"/>
          </w:p>
        </w:tc>
        <w:tc>
          <w:tcPr>
            <w:tcW w:w="585"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585"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项</w:t>
            </w:r>
          </w:p>
        </w:tc>
        <w:tc>
          <w:tcPr>
            <w:tcW w:w="915"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170000</w:t>
            </w:r>
          </w:p>
        </w:tc>
        <w:tc>
          <w:tcPr>
            <w:tcW w:w="1185"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170000</w:t>
            </w:r>
          </w:p>
        </w:tc>
        <w:tc>
          <w:tcPr>
            <w:tcW w:w="4114" w:type="dxa"/>
            <w:vAlign w:val="center"/>
          </w:tcPr>
          <w:p>
            <w:pPr>
              <w:rPr>
                <w:rFonts w:hint="eastAsia" w:ascii="宋体" w:hAnsi="宋体"/>
              </w:rPr>
            </w:pPr>
            <w:r>
              <w:rPr>
                <w:rFonts w:hint="eastAsia" w:ascii="宋体" w:hAnsi="宋体"/>
              </w:rPr>
              <w:t>提供不少于8人的技术运维团队负责大明山两个网站的网络安全工作，对网站进行7*24小时的信息系统安全监测，保障网站正常运行；</w:t>
            </w:r>
          </w:p>
          <w:p>
            <w:pPr>
              <w:rPr>
                <w:rFonts w:hint="eastAsia" w:ascii="宋体" w:hAnsi="宋体"/>
              </w:rPr>
            </w:pPr>
            <w:r>
              <w:rPr>
                <w:rFonts w:hint="eastAsia" w:ascii="宋体" w:hAnsi="宋体"/>
              </w:rPr>
              <w:t>定期对网站信息系统进行检查，并根据检查中发现的问题进行整改，配合处理政务云平台发布的漏洞报告，对系统进行漏洞修复，定期检查系统日志，每周进行杀毒，并更新病毒库；</w:t>
            </w:r>
          </w:p>
          <w:p>
            <w:pPr>
              <w:rPr>
                <w:rFonts w:hint="eastAsia" w:ascii="宋体" w:hAnsi="宋体"/>
              </w:rPr>
            </w:pPr>
            <w:r>
              <w:rPr>
                <w:rFonts w:hint="eastAsia" w:ascii="宋体" w:hAnsi="宋体"/>
              </w:rPr>
              <w:t>每个月异地备份一次，每天做备份计划，备份到应用服务器。应有移动存储硬盘，每半年对网站数据进行拷贝备份；</w:t>
            </w:r>
          </w:p>
          <w:p>
            <w:pPr>
              <w:rPr>
                <w:rFonts w:hint="eastAsia" w:ascii="宋体" w:hAnsi="宋体"/>
              </w:rPr>
            </w:pPr>
            <w:r>
              <w:rPr>
                <w:rFonts w:hint="eastAsia" w:ascii="宋体" w:hAnsi="宋体"/>
              </w:rPr>
              <w:t>制定应急预案，年度开展四次应急演练；</w:t>
            </w:r>
          </w:p>
          <w:p>
            <w:pPr>
              <w:rPr>
                <w:rFonts w:hint="eastAsia" w:ascii="宋体" w:hAnsi="宋体"/>
              </w:rPr>
            </w:pPr>
            <w:r>
              <w:rPr>
                <w:rFonts w:hint="eastAsia" w:ascii="宋体" w:hAnsi="宋体"/>
              </w:rPr>
              <w:t>指派一名技术人员驻点南宁广播电视台，配合处理日常网站运行工作；</w:t>
            </w:r>
          </w:p>
          <w:p>
            <w:pPr>
              <w:rPr>
                <w:rFonts w:ascii="宋体" w:hAnsi="宋体"/>
                <w:szCs w:val="21"/>
              </w:rPr>
            </w:pPr>
            <w:r>
              <w:rPr>
                <w:rFonts w:hint="eastAsia" w:ascii="宋体" w:hAnsi="宋体"/>
              </w:rPr>
              <w:t>负责大明山网站域名续费工作；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92" w:hRule="atLeast"/>
        </w:trPr>
        <w:tc>
          <w:tcPr>
            <w:tcW w:w="490" w:type="dxa"/>
            <w:vAlign w:val="center"/>
          </w:tcPr>
          <w:p>
            <w:pPr>
              <w:tabs>
                <w:tab w:val="left" w:pos="1440"/>
              </w:tabs>
              <w:spacing w:line="400" w:lineRule="exact"/>
              <w:jc w:val="left"/>
              <w:rPr>
                <w:rFonts w:ascii="宋体" w:hAnsi="宋体" w:cs="Arial"/>
                <w:bCs/>
                <w:color w:val="000000"/>
                <w:kern w:val="0"/>
                <w:szCs w:val="21"/>
              </w:rPr>
            </w:pPr>
            <w:r>
              <w:rPr>
                <w:rFonts w:hint="eastAsia" w:ascii="宋体" w:hAnsi="宋体" w:cs="Arial"/>
                <w:bCs/>
                <w:color w:val="000000"/>
                <w:kern w:val="0"/>
                <w:szCs w:val="21"/>
              </w:rPr>
              <w:t>商务条款</w:t>
            </w:r>
          </w:p>
        </w:tc>
        <w:tc>
          <w:tcPr>
            <w:tcW w:w="8369" w:type="dxa"/>
            <w:gridSpan w:val="6"/>
          </w:tcPr>
          <w:p>
            <w:pPr>
              <w:widowControl/>
              <w:shd w:val="clear" w:color="auto" w:fill="FFFFFF"/>
              <w:spacing w:line="330" w:lineRule="atLeast"/>
              <w:rPr>
                <w:rFonts w:ascii="宋体" w:hAnsi="宋体"/>
              </w:rPr>
            </w:pPr>
            <w:r>
              <w:rPr>
                <w:rFonts w:hint="eastAsia" w:ascii="宋体" w:hAnsi="宋体"/>
              </w:rPr>
              <w:t>一、合同签订期：自中标通知书发出之日起</w:t>
            </w:r>
            <w:r>
              <w:rPr>
                <w:rFonts w:hint="eastAsia" w:ascii="宋体" w:hAnsi="宋体"/>
                <w:highlight w:val="none"/>
                <w:u w:val="single"/>
              </w:rPr>
              <w:t xml:space="preserve"> </w:t>
            </w:r>
            <w:r>
              <w:rPr>
                <w:rFonts w:hint="eastAsia" w:ascii="宋体" w:hAnsi="宋体"/>
                <w:highlight w:val="none"/>
                <w:u w:val="single"/>
                <w:lang w:val="en-US" w:eastAsia="zh-CN"/>
              </w:rPr>
              <w:t xml:space="preserve">5 </w:t>
            </w:r>
            <w:r>
              <w:rPr>
                <w:rFonts w:hint="eastAsia" w:ascii="宋体" w:hAnsi="宋体"/>
              </w:rPr>
              <w:t>个工作日内</w:t>
            </w:r>
          </w:p>
          <w:p>
            <w:pPr>
              <w:widowControl/>
              <w:shd w:val="clear" w:color="auto" w:fill="FFFFFF"/>
              <w:spacing w:line="330" w:lineRule="atLeast"/>
              <w:rPr>
                <w:rFonts w:ascii="宋体" w:hAnsi="宋体"/>
                <w:u w:val="single"/>
              </w:rPr>
            </w:pPr>
            <w:r>
              <w:rPr>
                <w:rFonts w:hint="eastAsia" w:ascii="宋体" w:hAnsi="宋体"/>
              </w:rPr>
              <w:t>二、提交服务成果地点：</w:t>
            </w:r>
            <w:r>
              <w:rPr>
                <w:rFonts w:hint="eastAsia" w:ascii="宋体" w:hAnsi="宋体"/>
                <w:u w:val="single"/>
              </w:rPr>
              <w:t xml:space="preserve"> 采购人指定地点  。</w:t>
            </w:r>
          </w:p>
          <w:p>
            <w:pPr>
              <w:rPr>
                <w:rFonts w:hint="default" w:ascii="宋体" w:hAnsi="宋体" w:eastAsia="宋体"/>
                <w:color w:val="FF0000"/>
                <w:u w:val="single"/>
                <w:lang w:val="en-US" w:eastAsia="zh-CN"/>
              </w:rPr>
            </w:pPr>
            <w:r>
              <w:rPr>
                <w:rFonts w:hint="eastAsia" w:ascii="宋体" w:hAnsi="宋体"/>
              </w:rPr>
              <w:t>三、服务期限</w:t>
            </w:r>
            <w:r>
              <w:rPr>
                <w:rFonts w:hint="eastAsia" w:ascii="宋体" w:hAnsi="宋体"/>
                <w:u w:val="single"/>
              </w:rPr>
              <w:t>：</w:t>
            </w:r>
            <w:r>
              <w:rPr>
                <w:rFonts w:hint="eastAsia" w:ascii="宋体" w:hAnsi="宋体" w:cs="宋体"/>
                <w:color w:val="000000"/>
                <w:kern w:val="0"/>
                <w:szCs w:val="21"/>
                <w:u w:val="single"/>
              </w:rPr>
              <w:t>自合同签订之日起至2023年</w:t>
            </w:r>
            <w:r>
              <w:rPr>
                <w:rFonts w:hint="eastAsia" w:ascii="宋体" w:hAnsi="宋体" w:cs="宋体"/>
                <w:color w:val="000000"/>
                <w:kern w:val="0"/>
                <w:szCs w:val="21"/>
                <w:u w:val="single"/>
                <w:lang w:val="en-US" w:eastAsia="zh-CN"/>
              </w:rPr>
              <w:t>11</w:t>
            </w:r>
            <w:r>
              <w:rPr>
                <w:rFonts w:hint="eastAsia" w:ascii="宋体" w:hAnsi="宋体" w:cs="宋体"/>
                <w:color w:val="000000"/>
                <w:kern w:val="0"/>
                <w:szCs w:val="21"/>
                <w:u w:val="single"/>
              </w:rPr>
              <w:t>月</w:t>
            </w:r>
            <w:r>
              <w:rPr>
                <w:rFonts w:hint="eastAsia" w:ascii="宋体" w:hAnsi="宋体" w:cs="宋体"/>
                <w:color w:val="000000"/>
                <w:kern w:val="0"/>
                <w:szCs w:val="21"/>
                <w:u w:val="single"/>
                <w:lang w:val="en-US" w:eastAsia="zh-CN"/>
              </w:rPr>
              <w:t>1日。</w:t>
            </w:r>
          </w:p>
          <w:p>
            <w:pPr>
              <w:rPr>
                <w:rFonts w:ascii="宋体" w:hAnsi="宋体"/>
              </w:rPr>
            </w:pPr>
            <w:r>
              <w:rPr>
                <w:rFonts w:hint="eastAsia" w:ascii="宋体" w:hAnsi="宋体"/>
              </w:rPr>
              <w:t>四、其他要求：</w:t>
            </w:r>
          </w:p>
          <w:p>
            <w:pPr>
              <w:rPr>
                <w:rFonts w:ascii="宋体" w:hAnsi="宋体"/>
              </w:rPr>
            </w:pPr>
            <w:r>
              <w:rPr>
                <w:rFonts w:hint="eastAsia" w:ascii="宋体" w:hAnsi="宋体"/>
              </w:rPr>
              <w:t>1、报价必须含以下部分，包括：</w:t>
            </w:r>
          </w:p>
          <w:p>
            <w:pPr>
              <w:rPr>
                <w:rFonts w:ascii="宋体" w:hAnsi="宋体"/>
              </w:rPr>
            </w:pPr>
            <w:r>
              <w:rPr>
                <w:rFonts w:hint="eastAsia" w:ascii="宋体" w:hAnsi="宋体"/>
              </w:rPr>
              <w:t>（1）服务内容所产生的费用；</w:t>
            </w:r>
          </w:p>
          <w:p>
            <w:pPr>
              <w:rPr>
                <w:rFonts w:ascii="宋体" w:hAnsi="宋体"/>
              </w:rPr>
            </w:pPr>
            <w:r>
              <w:rPr>
                <w:rFonts w:hint="eastAsia" w:ascii="宋体" w:hAnsi="宋体"/>
              </w:rPr>
              <w:t>（2）此项目的</w:t>
            </w:r>
            <w:r>
              <w:rPr>
                <w:rFonts w:ascii="宋体" w:hAnsi="宋体"/>
              </w:rPr>
              <w:t>税金等</w:t>
            </w:r>
            <w:r>
              <w:rPr>
                <w:rFonts w:hint="eastAsia" w:ascii="宋体" w:hAnsi="宋体"/>
              </w:rPr>
              <w:t>所有</w:t>
            </w:r>
            <w:r>
              <w:rPr>
                <w:rFonts w:ascii="宋体" w:hAnsi="宋体"/>
              </w:rPr>
              <w:t>费用。</w:t>
            </w:r>
          </w:p>
          <w:p>
            <w:pPr>
              <w:keepNext w:val="0"/>
              <w:keepLines w:val="0"/>
              <w:widowControl w:val="0"/>
              <w:suppressLineNumbers w:val="0"/>
              <w:snapToGrid w:val="0"/>
              <w:spacing w:before="0" w:beforeAutospacing="0" w:after="0" w:afterAutospacing="0" w:line="400" w:lineRule="exact"/>
              <w:ind w:left="0" w:right="0"/>
              <w:jc w:val="both"/>
              <w:rPr>
                <w:rFonts w:hint="eastAsia" w:ascii="宋体" w:hAnsi="宋体"/>
                <w:highlight w:val="red"/>
                <w:lang w:val="en-US" w:eastAsia="zh-CN"/>
              </w:rPr>
            </w:pPr>
            <w:r>
              <w:rPr>
                <w:rFonts w:hint="eastAsia" w:ascii="宋体" w:hAnsi="宋体" w:cs="宋体"/>
                <w:kern w:val="0"/>
                <w:szCs w:val="21"/>
              </w:rPr>
              <w:t>★</w:t>
            </w:r>
            <w:r>
              <w:rPr>
                <w:rFonts w:hint="eastAsia" w:ascii="宋体" w:hAnsi="宋体"/>
              </w:rPr>
              <w:t>2、付款方式：</w:t>
            </w:r>
            <w:r>
              <w:rPr>
                <w:rFonts w:hint="eastAsia" w:ascii="宋体" w:hAnsi="宋体"/>
                <w:lang w:val="en-US" w:eastAsia="zh-CN"/>
              </w:rPr>
              <w:t>本项目无预付款，</w:t>
            </w:r>
            <w:r>
              <w:rPr>
                <w:rFonts w:hint="eastAsia" w:ascii="宋体" w:hAnsi="宋体"/>
                <w:highlight w:val="none"/>
                <w:lang w:val="en-US" w:eastAsia="zh-CN"/>
              </w:rPr>
              <w:t>合同签署后十个工作日内，</w:t>
            </w:r>
            <w:r>
              <w:rPr>
                <w:rFonts w:hint="eastAsia"/>
              </w:rPr>
              <w:t>中标供应商提供合同总金额</w:t>
            </w:r>
            <w:r>
              <w:rPr>
                <w:rFonts w:hint="eastAsia"/>
                <w:lang w:val="en-US" w:eastAsia="zh-CN"/>
              </w:rPr>
              <w:t>6</w:t>
            </w:r>
            <w:r>
              <w:rPr>
                <w:rFonts w:hint="eastAsia"/>
              </w:rPr>
              <w:t>0%的增值税专用发票给采购人，采购人在收到发票后二十个工作日内支付</w:t>
            </w:r>
            <w:r>
              <w:rPr>
                <w:rFonts w:hint="eastAsia"/>
                <w:lang w:val="en-US" w:eastAsia="zh-CN"/>
              </w:rPr>
              <w:t>6</w:t>
            </w:r>
            <w:r>
              <w:rPr>
                <w:rFonts w:hint="eastAsia"/>
              </w:rPr>
              <w:t>0%的合同款；</w:t>
            </w:r>
            <w:r>
              <w:rPr>
                <w:rFonts w:hint="eastAsia" w:ascii="宋体" w:hAnsi="宋体"/>
                <w:highlight w:val="none"/>
                <w:lang w:val="en-US" w:eastAsia="zh-CN"/>
              </w:rPr>
              <w:t>7月31日前</w:t>
            </w:r>
            <w:r>
              <w:rPr>
                <w:rFonts w:hint="eastAsia"/>
              </w:rPr>
              <w:t>中标供应商提供合同总金额</w:t>
            </w:r>
            <w:r>
              <w:rPr>
                <w:rFonts w:hint="eastAsia"/>
                <w:lang w:val="en-US" w:eastAsia="zh-CN"/>
              </w:rPr>
              <w:t>30</w:t>
            </w:r>
            <w:r>
              <w:rPr>
                <w:rFonts w:hint="eastAsia"/>
              </w:rPr>
              <w:t>%的增值税专用发票给采购人，采购人在收到发票后二十个工作日内支付</w:t>
            </w:r>
            <w:r>
              <w:rPr>
                <w:rFonts w:hint="eastAsia"/>
                <w:lang w:val="en-US" w:eastAsia="zh-CN"/>
              </w:rPr>
              <w:t>3</w:t>
            </w:r>
            <w:r>
              <w:rPr>
                <w:rFonts w:hint="eastAsia"/>
              </w:rPr>
              <w:t>0%的合同款</w:t>
            </w:r>
            <w:r>
              <w:rPr>
                <w:rFonts w:hint="eastAsia" w:ascii="宋体" w:hAnsi="宋体"/>
                <w:highlight w:val="none"/>
                <w:lang w:val="en-US" w:eastAsia="zh-CN"/>
              </w:rPr>
              <w:t>；采购人对项目验收完成后供应商开具10%的</w:t>
            </w:r>
            <w:r>
              <w:rPr>
                <w:rFonts w:hint="eastAsia"/>
              </w:rPr>
              <w:t>增值税专用发票给采购人</w:t>
            </w:r>
            <w:r>
              <w:rPr>
                <w:rFonts w:hint="eastAsia"/>
                <w:lang w:eastAsia="zh-CN"/>
              </w:rPr>
              <w:t>，</w:t>
            </w:r>
            <w:r>
              <w:rPr>
                <w:rFonts w:hint="eastAsia"/>
              </w:rPr>
              <w:t>采购人在收到发票后二十个工作日内支付</w:t>
            </w:r>
            <w:r>
              <w:rPr>
                <w:rFonts w:hint="eastAsia"/>
                <w:lang w:val="en-US" w:eastAsia="zh-CN"/>
              </w:rPr>
              <w:t>10%的合同款</w:t>
            </w:r>
            <w:r>
              <w:rPr>
                <w:rFonts w:hint="eastAsia" w:ascii="宋体" w:hAnsi="宋体"/>
                <w:highlight w:val="none"/>
                <w:lang w:val="en-US" w:eastAsia="zh-CN"/>
              </w:rPr>
              <w:t>。</w:t>
            </w:r>
          </w:p>
          <w:p>
            <w:pPr>
              <w:pStyle w:val="2"/>
              <w:numPr>
                <w:ilvl w:val="0"/>
                <w:numId w:val="2"/>
              </w:numP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售后服务要求：</w:t>
            </w:r>
          </w:p>
          <w:p>
            <w:pPr>
              <w:pStyle w:val="2"/>
              <w:numPr>
                <w:ilvl w:val="0"/>
                <w:numId w:val="0"/>
              </w:numP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1、</w:t>
            </w:r>
            <w:r>
              <w:rPr>
                <w:rFonts w:hint="eastAsia" w:ascii="宋体" w:hAnsi="宋体" w:cs="宋体"/>
                <w:color w:val="auto"/>
                <w:kern w:val="0"/>
                <w:szCs w:val="21"/>
                <w:highlight w:val="none"/>
                <w:lang w:val="en-US" w:eastAsia="zh-CN" w:bidi="ar"/>
              </w:rPr>
              <w:t>中标供应商</w:t>
            </w:r>
            <w:r>
              <w:rPr>
                <w:rFonts w:hint="eastAsia" w:ascii="宋体" w:hAnsi="宋体" w:eastAsia="宋体" w:cs="宋体"/>
                <w:color w:val="auto"/>
                <w:kern w:val="0"/>
                <w:szCs w:val="21"/>
                <w:highlight w:val="none"/>
                <w:lang w:bidi="ar"/>
              </w:rPr>
              <w:t>必须严格按照采购需求中要求完成的各项任务</w:t>
            </w:r>
            <w:r>
              <w:rPr>
                <w:rFonts w:hint="eastAsia" w:ascii="宋体" w:hAnsi="宋体" w:eastAsia="宋体" w:cs="宋体"/>
                <w:color w:val="auto"/>
                <w:kern w:val="0"/>
                <w:szCs w:val="21"/>
                <w:highlight w:val="none"/>
                <w:lang w:eastAsia="zh-CN" w:bidi="ar"/>
              </w:rPr>
              <w:t>；</w:t>
            </w:r>
          </w:p>
          <w:p>
            <w:pPr>
              <w:spacing w:line="360" w:lineRule="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2、在服务期间内，遇到问题负责处理解诀并积极配合采购单位各项工作</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接到服务运作期间出现各种问题后，4小时内响应，12小时内到场，48小时内协商解决或提出处理建议</w:t>
            </w:r>
            <w:r>
              <w:rPr>
                <w:rFonts w:hint="eastAsia" w:ascii="宋体" w:hAnsi="宋体" w:eastAsia="宋体" w:cs="宋体"/>
                <w:color w:val="auto"/>
                <w:kern w:val="0"/>
                <w:szCs w:val="21"/>
                <w:highlight w:val="none"/>
                <w:lang w:eastAsia="zh-CN" w:bidi="ar"/>
              </w:rPr>
              <w:t>；</w:t>
            </w:r>
          </w:p>
          <w:p>
            <w:pPr>
              <w:spacing w:line="360" w:lineRule="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3、</w:t>
            </w:r>
            <w:r>
              <w:rPr>
                <w:rFonts w:hint="eastAsia" w:ascii="宋体" w:hAnsi="宋体" w:cs="宋体"/>
                <w:color w:val="auto"/>
                <w:kern w:val="0"/>
                <w:szCs w:val="21"/>
                <w:highlight w:val="none"/>
                <w:lang w:val="en-US" w:eastAsia="zh-CN" w:bidi="ar"/>
              </w:rPr>
              <w:t>中标供应商</w:t>
            </w:r>
            <w:r>
              <w:rPr>
                <w:rFonts w:hint="eastAsia" w:ascii="宋体" w:hAnsi="宋体" w:eastAsia="宋体" w:cs="宋体"/>
                <w:color w:val="auto"/>
                <w:kern w:val="0"/>
                <w:szCs w:val="21"/>
                <w:highlight w:val="none"/>
                <w:lang w:bidi="ar"/>
              </w:rPr>
              <w:t>有完善的后勤保障措施,有充足的人员及硬件配套设备</w:t>
            </w:r>
            <w:r>
              <w:rPr>
                <w:rFonts w:hint="eastAsia" w:ascii="宋体" w:hAnsi="宋体" w:eastAsia="宋体" w:cs="宋体"/>
                <w:color w:val="auto"/>
                <w:kern w:val="0"/>
                <w:szCs w:val="21"/>
                <w:highlight w:val="none"/>
                <w:lang w:eastAsia="zh-CN" w:bidi="ar"/>
              </w:rPr>
              <w:t>；</w:t>
            </w:r>
          </w:p>
          <w:p>
            <w:pPr>
              <w:spacing w:line="360" w:lineRule="auto"/>
              <w:rPr>
                <w:rFonts w:hint="eastAsia" w:ascii="宋体" w:hAnsi="宋体"/>
              </w:rPr>
            </w:pPr>
            <w:r>
              <w:rPr>
                <w:rFonts w:hint="eastAsia" w:ascii="宋体" w:hAnsi="宋体" w:eastAsia="宋体" w:cs="宋体"/>
                <w:color w:val="auto"/>
                <w:kern w:val="0"/>
                <w:szCs w:val="21"/>
                <w:highlight w:val="none"/>
                <w:lang w:bidi="ar"/>
              </w:rPr>
              <w:t>4、服务成果验收方案便捷有效，能够及时向采购单位反馈信息。</w:t>
            </w:r>
          </w:p>
          <w:p>
            <w:pPr>
              <w:rPr>
                <w:rFonts w:ascii="宋体" w:hAnsi="宋体"/>
              </w:rPr>
            </w:pPr>
            <w:r>
              <w:rPr>
                <w:rFonts w:hint="eastAsia" w:ascii="宋体" w:hAnsi="宋体"/>
                <w:lang w:val="en-US" w:eastAsia="zh-CN"/>
              </w:rPr>
              <w:t>5</w:t>
            </w:r>
            <w:r>
              <w:rPr>
                <w:rFonts w:hint="eastAsia" w:ascii="宋体" w:hAnsi="宋体"/>
              </w:rPr>
              <w:t>、其他要求：</w:t>
            </w:r>
          </w:p>
          <w:p>
            <w:pPr>
              <w:widowControl/>
              <w:spacing w:line="360" w:lineRule="auto"/>
              <w:rPr>
                <w:rFonts w:ascii="宋体" w:hAnsi="宋体" w:cs="宋体"/>
                <w:color w:val="000000"/>
                <w:kern w:val="0"/>
                <w:szCs w:val="21"/>
              </w:rPr>
            </w:pPr>
            <w:r>
              <w:rPr>
                <w:rFonts w:ascii="宋体" w:hAnsi="宋体"/>
              </w:rPr>
              <w:t>中标供应商未按招标文件中的内容提供服务或服务未达招标要求的，相应责任由中标供应商负责。</w:t>
            </w:r>
            <w:r>
              <w:rPr>
                <w:rFonts w:hint="eastAsia" w:ascii="宋体" w:hAnsi="宋体"/>
              </w:rPr>
              <w:t>采购人有权取消其中标资格并解除合同。期间所有产生的相关费用由中标供应商承担。如期间造成采购人损失的，将追究中标供应商法律责任并赔偿相关损失。</w:t>
            </w:r>
          </w:p>
        </w:tc>
      </w:tr>
      <w:bookmarkEnd w:id="2"/>
    </w:tbl>
    <w:p>
      <w:pPr>
        <w:pStyle w:val="10"/>
        <w:jc w:val="center"/>
        <w:outlineLvl w:val="0"/>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6"/>
        <w:rPr>
          <w:rFonts w:ascii="Times New Roman" w:hAnsi="Times New Roman"/>
          <w:b/>
          <w:sz w:val="36"/>
        </w:rPr>
      </w:pPr>
    </w:p>
    <w:p>
      <w:pPr>
        <w:rPr>
          <w:rFonts w:ascii="Times New Roman" w:hAnsi="Times New Roman"/>
          <w:b/>
          <w:sz w:val="36"/>
        </w:rPr>
      </w:pPr>
    </w:p>
    <w:p>
      <w:pPr>
        <w:pStyle w:val="2"/>
      </w:pPr>
    </w:p>
    <w:p>
      <w:pPr>
        <w:pStyle w:val="10"/>
        <w:spacing w:line="440" w:lineRule="exact"/>
        <w:jc w:val="center"/>
        <w:rPr>
          <w:rFonts w:ascii="Times New Roman" w:hAnsi="Times New Roman"/>
          <w:b/>
          <w:sz w:val="36"/>
        </w:rPr>
      </w:pPr>
    </w:p>
    <w:p>
      <w:pPr>
        <w:pStyle w:val="2"/>
        <w:jc w:val="center"/>
        <w:rPr>
          <w:rFonts w:hint="eastAsia"/>
          <w:b/>
          <w:sz w:val="36"/>
        </w:rPr>
      </w:pPr>
    </w:p>
    <w:p>
      <w:pPr>
        <w:pStyle w:val="2"/>
        <w:jc w:val="center"/>
        <w:rPr>
          <w:rFonts w:hint="eastAsia"/>
          <w:b/>
          <w:sz w:val="36"/>
        </w:rPr>
      </w:pPr>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rPr>
          <w:sz w:val="28"/>
        </w:rPr>
      </w:pPr>
      <w:r>
        <w:rPr>
          <w:rFonts w:hint="eastAsia"/>
          <w:b/>
          <w:bCs/>
        </w:rPr>
        <w:t xml:space="preserve">                                    </w:t>
      </w:r>
    </w:p>
    <w:p>
      <w:pPr>
        <w:pStyle w:val="10"/>
        <w:jc w:val="center"/>
        <w:rPr>
          <w:rFonts w:ascii="Times New Roman" w:hAnsi="Times New Roman"/>
          <w:b/>
          <w:sz w:val="30"/>
          <w:szCs w:val="30"/>
        </w:rPr>
      </w:pPr>
      <w:r>
        <w:rPr>
          <w:rFonts w:hint="eastAsia" w:ascii="Times New Roman" w:hAnsi="Times New Roman"/>
          <w:b/>
          <w:sz w:val="30"/>
          <w:szCs w:val="30"/>
        </w:rPr>
        <w:t>最低评标价法</w:t>
      </w:r>
    </w:p>
    <w:p>
      <w:pPr>
        <w:pStyle w:val="10"/>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10"/>
        <w:tabs>
          <w:tab w:val="left" w:pos="1935"/>
        </w:tabs>
        <w:spacing w:line="400" w:lineRule="exact"/>
        <w:ind w:firstLine="420" w:firstLineChars="200"/>
      </w:pPr>
      <w:r>
        <w:rPr>
          <w:rFonts w:hint="eastAsia"/>
        </w:rPr>
        <w:t>评标价＝投标报价.</w:t>
      </w: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10"/>
        <w:spacing w:line="440" w:lineRule="exact"/>
        <w:jc w:val="center"/>
        <w:rPr>
          <w:rFonts w:ascii="Times New Roman" w:hAnsi="Times New Roman"/>
          <w:b/>
          <w:sz w:val="36"/>
        </w:rPr>
      </w:pPr>
    </w:p>
    <w:p>
      <w:pPr>
        <w:pStyle w:val="6"/>
      </w:pPr>
    </w:p>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10"/>
        <w:spacing w:line="440" w:lineRule="exact"/>
        <w:jc w:val="center"/>
        <w:rPr>
          <w:rFonts w:ascii="Times New Roman" w:hAnsi="Times New Roman"/>
          <w:b/>
          <w:sz w:val="36"/>
        </w:rPr>
      </w:pPr>
    </w:p>
    <w:p>
      <w:pPr>
        <w:pStyle w:val="10"/>
        <w:spacing w:line="440" w:lineRule="exact"/>
        <w:jc w:val="center"/>
        <w:rPr>
          <w:rFonts w:hAnsi="宋体"/>
        </w:rPr>
      </w:pPr>
      <w:bookmarkStart w:id="3" w:name="_Toc532545044"/>
      <w:r>
        <w:rPr>
          <w:rFonts w:hint="eastAsia" w:ascii="Times New Roman" w:hAnsi="Times New Roman"/>
          <w:b/>
          <w:sz w:val="36"/>
        </w:rPr>
        <w:t>第三章</w:t>
      </w:r>
      <w:r>
        <w:rPr>
          <w:rFonts w:ascii="Times New Roman" w:hAnsi="Times New Roman"/>
          <w:b/>
          <w:sz w:val="36"/>
        </w:rPr>
        <w:t xml:space="preserve">  </w:t>
      </w:r>
      <w:bookmarkEnd w:id="3"/>
      <w:bookmarkStart w:id="4" w:name="_Toc532545052"/>
      <w:r>
        <w:rPr>
          <w:rFonts w:ascii="Times New Roman" w:hAnsi="Times New Roman"/>
          <w:b/>
          <w:sz w:val="36"/>
        </w:rPr>
        <w:t xml:space="preserve"> </w:t>
      </w:r>
      <w:r>
        <w:rPr>
          <w:rFonts w:hint="eastAsia" w:ascii="Times New Roman" w:hAnsi="Times New Roman"/>
          <w:b/>
          <w:sz w:val="36"/>
        </w:rPr>
        <w:t>投标文件格式</w:t>
      </w:r>
      <w:bookmarkEnd w:id="4"/>
    </w:p>
    <w:p>
      <w:pPr>
        <w:snapToGrid w:val="0"/>
        <w:spacing w:line="360" w:lineRule="auto"/>
        <w:jc w:val="left"/>
        <w:rPr>
          <w:rFonts w:ascii="宋体" w:hAnsi="宋体" w:eastAsia="宋体"/>
          <w:b/>
          <w:szCs w:val="21"/>
        </w:rPr>
      </w:pPr>
      <w:bookmarkStart w:id="5" w:name="_Toc254970536"/>
      <w:bookmarkStart w:id="6" w:name="_Toc254970677"/>
      <w:r>
        <w:rPr>
          <w:rFonts w:hint="eastAsia" w:ascii="宋体" w:hAnsi="宋体" w:eastAsia="宋体"/>
          <w:b/>
          <w:szCs w:val="21"/>
        </w:rPr>
        <w:t>一、投标文件的组成</w:t>
      </w:r>
      <w:bookmarkEnd w:id="5"/>
      <w:bookmarkEnd w:id="6"/>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10"/>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10"/>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10"/>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eastAsia="宋体"/>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5.投标人对本项目的合理化建议和改进措施（格式自拟）；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6.除招标文件规定必须提供以外，投标人需要说明的其他文件和说明（格式自拟）。</w:t>
      </w:r>
    </w:p>
    <w:p>
      <w:pPr>
        <w:pStyle w:val="2"/>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10"/>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10"/>
        <w:snapToGrid w:val="0"/>
        <w:jc w:val="center"/>
        <w:rPr>
          <w:rFonts w:hAnsi="宋体"/>
          <w:b/>
          <w:sz w:val="32"/>
          <w:szCs w:val="32"/>
        </w:rPr>
      </w:pPr>
    </w:p>
    <w:p>
      <w:pPr>
        <w:pStyle w:val="10"/>
        <w:snapToGrid w:val="0"/>
        <w:jc w:val="center"/>
        <w:rPr>
          <w:rFonts w:hAnsi="宋体"/>
          <w:b/>
          <w:sz w:val="32"/>
          <w:szCs w:val="32"/>
        </w:rPr>
      </w:pPr>
      <w:r>
        <w:rPr>
          <w:rFonts w:hint="eastAsia" w:hAnsi="宋体"/>
          <w:b/>
          <w:sz w:val="32"/>
          <w:szCs w:val="32"/>
        </w:rPr>
        <w:t>投标报价明细表</w:t>
      </w:r>
    </w:p>
    <w:tbl>
      <w:tblPr>
        <w:tblStyle w:val="16"/>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10"/>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9"/>
        <w:tabs>
          <w:tab w:val="left" w:pos="939"/>
        </w:tabs>
        <w:snapToGrid w:val="0"/>
        <w:spacing w:line="46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9"/>
        <w:tabs>
          <w:tab w:val="left" w:pos="939"/>
        </w:tabs>
        <w:snapToGrid w:val="0"/>
        <w:spacing w:line="420" w:lineRule="exact"/>
        <w:ind w:left="401" w:leftChars="0" w:hanging="401" w:hangingChars="191"/>
        <w:rPr>
          <w:rFonts w:ascii="宋体" w:hAnsi="宋体"/>
          <w:sz w:val="21"/>
          <w:szCs w:val="21"/>
        </w:rPr>
      </w:pPr>
    </w:p>
    <w:p>
      <w:pPr>
        <w:pStyle w:val="22"/>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11"/>
      </w:pPr>
    </w:p>
    <w:p>
      <w:pPr>
        <w:pStyle w:val="11"/>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10"/>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6"/>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
      <w:pPr>
        <w:pStyle w:val="10"/>
        <w:jc w:val="center"/>
        <w:outlineLvl w:val="0"/>
        <w:rPr>
          <w:rFonts w:ascii="Times New Roman" w:hAnsi="Times New Roman"/>
          <w:b/>
          <w:sz w:val="36"/>
        </w:rPr>
      </w:pPr>
    </w:p>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康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sz w:val="21"/>
      </w:rPr>
    </w:pPr>
    <w:r>
      <w:rPr>
        <w:sz w:val="21"/>
      </w:rPr>
      <w:fldChar w:fldCharType="begin"/>
    </w:r>
    <w:r>
      <w:rPr>
        <w:rStyle w:val="18"/>
        <w:sz w:val="21"/>
      </w:rPr>
      <w:instrText xml:space="preserve">PAGE  </w:instrText>
    </w:r>
    <w:r>
      <w:rPr>
        <w:sz w:val="21"/>
      </w:rPr>
      <w:fldChar w:fldCharType="separate"/>
    </w:r>
    <w:r>
      <w:rPr>
        <w:rStyle w:val="18"/>
        <w:sz w:val="21"/>
      </w:rPr>
      <w:t>0</w:t>
    </w:r>
    <w:r>
      <w:rPr>
        <w:sz w:val="21"/>
      </w:rPr>
      <w:fldChar w:fldCharType="end"/>
    </w:r>
  </w:p>
  <w:p>
    <w:pPr>
      <w:pStyle w:val="11"/>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0"/>
        <w:tab w:val="clear" w:pos="4153"/>
      </w:tabs>
      <w:jc w:val="both"/>
    </w:pPr>
    <w:r>
      <w:rPr>
        <w:rFonts w:hint="eastAsia"/>
      </w:rPr>
      <w:t xml:space="preserve">     </w:t>
    </w:r>
  </w:p>
  <w:p>
    <w:pPr>
      <w:pStyle w:val="12"/>
      <w:tabs>
        <w:tab w:val="center" w:pos="0"/>
        <w:tab w:val="clear" w:pos="4153"/>
      </w:tabs>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9380E"/>
    <w:multiLevelType w:val="singleLevel"/>
    <w:tmpl w:val="DD19380E"/>
    <w:lvl w:ilvl="0" w:tentative="0">
      <w:start w:val="5"/>
      <w:numFmt w:val="chineseCounting"/>
      <w:suff w:val="nothing"/>
      <w:lvlText w:val="%1、"/>
      <w:lvlJc w:val="left"/>
      <w:rPr>
        <w:rFonts w:hint="eastAsia"/>
      </w:rPr>
    </w:lvl>
  </w:abstractNum>
  <w:abstractNum w:abstractNumId="1">
    <w:nsid w:val="24E409BB"/>
    <w:multiLevelType w:val="multilevel"/>
    <w:tmpl w:val="24E409BB"/>
    <w:lvl w:ilvl="0" w:tentative="0">
      <w:start w:val="1"/>
      <w:numFmt w:val="decimal"/>
      <w:pStyle w:val="2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jFmN2M4Nzg3OWYxMWIwZDkwMzQwZTRjMzRmYzYifQ=="/>
  </w:docVars>
  <w:rsids>
    <w:rsidRoot w:val="331F3C29"/>
    <w:rsid w:val="00014AAA"/>
    <w:rsid w:val="001B1151"/>
    <w:rsid w:val="001C34C5"/>
    <w:rsid w:val="00211914"/>
    <w:rsid w:val="00471BF2"/>
    <w:rsid w:val="0049218B"/>
    <w:rsid w:val="004F0764"/>
    <w:rsid w:val="005A268A"/>
    <w:rsid w:val="005F2483"/>
    <w:rsid w:val="0063568C"/>
    <w:rsid w:val="00723744"/>
    <w:rsid w:val="00914EAA"/>
    <w:rsid w:val="00A32CB9"/>
    <w:rsid w:val="00AA6D90"/>
    <w:rsid w:val="00AE5F64"/>
    <w:rsid w:val="00C032B8"/>
    <w:rsid w:val="00C36366"/>
    <w:rsid w:val="00CE35B3"/>
    <w:rsid w:val="00E05465"/>
    <w:rsid w:val="00E1230D"/>
    <w:rsid w:val="00F14F92"/>
    <w:rsid w:val="0106085D"/>
    <w:rsid w:val="02C313F7"/>
    <w:rsid w:val="05FD2466"/>
    <w:rsid w:val="070D03E9"/>
    <w:rsid w:val="0AE04B03"/>
    <w:rsid w:val="0B1424FD"/>
    <w:rsid w:val="0D712BA0"/>
    <w:rsid w:val="0DE303E4"/>
    <w:rsid w:val="0E635812"/>
    <w:rsid w:val="11151D8C"/>
    <w:rsid w:val="120842A7"/>
    <w:rsid w:val="159B7CCB"/>
    <w:rsid w:val="17D5109B"/>
    <w:rsid w:val="1AD5111C"/>
    <w:rsid w:val="1B731063"/>
    <w:rsid w:val="229D661A"/>
    <w:rsid w:val="2BF070C4"/>
    <w:rsid w:val="2D9D4A5D"/>
    <w:rsid w:val="2EC23CA6"/>
    <w:rsid w:val="2F302F04"/>
    <w:rsid w:val="331F3C29"/>
    <w:rsid w:val="35122FE6"/>
    <w:rsid w:val="352E0A6B"/>
    <w:rsid w:val="371868DA"/>
    <w:rsid w:val="39FD4981"/>
    <w:rsid w:val="3E4D6218"/>
    <w:rsid w:val="400E1B16"/>
    <w:rsid w:val="423A25D1"/>
    <w:rsid w:val="48090D25"/>
    <w:rsid w:val="49E61B87"/>
    <w:rsid w:val="4E2E4947"/>
    <w:rsid w:val="52D6718A"/>
    <w:rsid w:val="579268F3"/>
    <w:rsid w:val="5B210373"/>
    <w:rsid w:val="62781D34"/>
    <w:rsid w:val="67261705"/>
    <w:rsid w:val="688F7BB7"/>
    <w:rsid w:val="6B5660C4"/>
    <w:rsid w:val="6CA22691"/>
    <w:rsid w:val="6F42742E"/>
    <w:rsid w:val="72BC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qFormat/>
    <w:uiPriority w:val="0"/>
    <w:pPr>
      <w:widowControl/>
      <w:spacing w:line="360" w:lineRule="auto"/>
      <w:ind w:firstLine="420"/>
      <w:jc w:val="left"/>
    </w:pPr>
    <w:rPr>
      <w:rFonts w:ascii="宋体"/>
      <w:kern w:val="0"/>
      <w:szCs w:val="20"/>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List 2"/>
    <w:basedOn w:val="1"/>
    <w:qFormat/>
    <w:uiPriority w:val="0"/>
    <w:pPr>
      <w:ind w:left="100" w:leftChars="200" w:hanging="200" w:hangingChars="200"/>
    </w:pPr>
    <w:rPr>
      <w:sz w:val="28"/>
    </w:rPr>
  </w:style>
  <w:style w:type="paragraph" w:styleId="10">
    <w:name w:val="Plain Text"/>
    <w:basedOn w:val="1"/>
    <w:next w:val="6"/>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tabs>
        <w:tab w:val="right" w:leader="dot" w:pos="9628"/>
      </w:tabs>
      <w:ind w:left="420" w:firstLine="120"/>
      <w:jc w:val="left"/>
    </w:pPr>
    <w:rPr>
      <w:smallCaps/>
      <w:sz w:val="20"/>
      <w:szCs w:val="20"/>
    </w:rPr>
  </w:style>
  <w:style w:type="paragraph" w:styleId="15">
    <w:name w:val="Body Text First Indent 2"/>
    <w:qFormat/>
    <w:uiPriority w:val="0"/>
    <w:pPr>
      <w:widowControl w:val="0"/>
      <w:ind w:firstLine="420" w:firstLineChars="200"/>
      <w:jc w:val="both"/>
    </w:pPr>
    <w:rPr>
      <w:rFonts w:ascii="仿宋_GB2312" w:hAnsi="Times New Roman" w:eastAsia="仿宋_GB2312" w:cs="Times New Roman"/>
      <w:sz w:val="32"/>
      <w:lang w:val="en-US" w:eastAsia="zh-CN" w:bidi="ar-SA"/>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正文段"/>
    <w:basedOn w:val="1"/>
    <w:qFormat/>
    <w:uiPriority w:val="0"/>
    <w:pPr>
      <w:widowControl/>
      <w:snapToGrid w:val="0"/>
      <w:spacing w:afterLines="50"/>
      <w:ind w:firstLine="200" w:firstLineChars="200"/>
    </w:pPr>
    <w:rPr>
      <w:kern w:val="0"/>
      <w:sz w:val="24"/>
      <w:szCs w:val="20"/>
    </w:rPr>
  </w:style>
  <w:style w:type="paragraph" w:customStyle="1" w:styleId="21">
    <w:name w:val="p16"/>
    <w:basedOn w:val="1"/>
    <w:qFormat/>
    <w:uiPriority w:val="0"/>
    <w:pPr>
      <w:widowControl/>
    </w:pPr>
    <w:rPr>
      <w:rFonts w:ascii="宋体" w:hAnsi="宋体" w:cs="宋体"/>
      <w:kern w:val="0"/>
      <w:szCs w:val="21"/>
    </w:rPr>
  </w:style>
  <w:style w:type="paragraph" w:customStyle="1" w:styleId="22">
    <w:name w:val="默认段落字体 Para Char Char Char Char Char Char Char Char Char1 Char Char Char Char"/>
    <w:basedOn w:val="1"/>
    <w:qFormat/>
    <w:uiPriority w:val="0"/>
    <w:rPr>
      <w:rFonts w:ascii="Tahoma" w:hAnsi="Tahoma"/>
      <w:sz w:val="24"/>
      <w:szCs w:val="20"/>
    </w:rPr>
  </w:style>
  <w:style w:type="paragraph" w:customStyle="1" w:styleId="23">
    <w:name w:val="表名称"/>
    <w:basedOn w:val="7"/>
    <w:qFormat/>
    <w:uiPriority w:val="0"/>
    <w:pPr>
      <w:numPr>
        <w:ilvl w:val="0"/>
        <w:numId w:val="1"/>
      </w:numPr>
      <w:tabs>
        <w:tab w:val="left" w:pos="360"/>
      </w:tabs>
      <w:spacing w:before="120" w:after="120"/>
      <w:ind w:left="0" w:firstLine="0"/>
      <w:jc w:val="center"/>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4020</Words>
  <Characters>4207</Characters>
  <Lines>40</Lines>
  <Paragraphs>11</Paragraphs>
  <TotalTime>2</TotalTime>
  <ScaleCrop>false</ScaleCrop>
  <LinksUpToDate>false</LinksUpToDate>
  <CharactersWithSpaces>5284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2020-09-07T03:38:00Z</dcterms:created>
  <dc:creator>到此一游</dc:creator>
  <cp:lastModifiedBy>PC</cp:lastModifiedBy>
  <dcterms:modified xsi:type="dcterms:W3CDTF">2023-04-19T09:45:23Z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3AD631F0A9814584943FA617319A7882</vt:lpwstr>
  </property>
</Properties>
</file>